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Nedopusťte další OKD. Nedávejte Tykačovi dotace, dokud nezaplatí za rekultivace, vyzývají vládu lidé z Ústecka</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color w:val="999999"/>
        </w:rPr>
      </w:pPr>
      <w:r w:rsidDel="00000000" w:rsidR="00000000" w:rsidRPr="00000000">
        <w:rPr>
          <w:color w:val="999999"/>
          <w:rtl w:val="0"/>
        </w:rPr>
        <w:t xml:space="preserve">Tisková zpráva, 19.9. 2022 - k publikaci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Na Ústecku hrozí další OKD, jen ve větším měřítku, varují občanské spolky i komunální zastupitelé z Ústeckého kraje v otevřeném dopise vládě. Takové riziko podle nich představují plány společnosti Severní energetická ze skupiny Sev.en energy uhlobarona Pavla Tykače. Ta dosud nezaplatila 1,4 miliardy korun dlužných záloh na rekultivaci území dolu ČSA po těžbě a současně na nové využití téhož území žádá peníze z Fondu spravedlivé transformace.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Podpora dalšího využití území, za jehož rekultivaci je ze zákona zodpovědný těžař, zjevně porušuje princip “znečišťovatel platí”, podle nějž musí být za škody odpovědný ten, kdo je způsobil. Riziko neoprávněné podpory kritizovali ekologické organizace již dříve, upozornil na ně také pořad Reportéři ČT.</w:t>
      </w:r>
      <w:r w:rsidDel="00000000" w:rsidR="00000000" w:rsidRPr="00000000">
        <w:rPr>
          <w:vertAlign w:val="superscript"/>
        </w:rPr>
        <w:footnoteReference w:customMarkFollows="0" w:id="0"/>
      </w:r>
      <w:r w:rsidDel="00000000" w:rsidR="00000000" w:rsidRPr="00000000">
        <w:rPr>
          <w:rtl w:val="0"/>
        </w:rPr>
        <w:t xml:space="preserve"> Teď se proti plánu ozývají rovněž místní.</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t>
      </w:r>
      <w:r w:rsidDel="00000000" w:rsidR="00000000" w:rsidRPr="00000000">
        <w:rPr>
          <w:i w:val="1"/>
          <w:rtl w:val="0"/>
        </w:rPr>
        <w:t xml:space="preserve">Vylučte Tykačovu firmu z přijímání státní podpory, přinejmenším dokud sama nesloží dlužné peníze na rekultivace,</w:t>
      </w:r>
      <w:r w:rsidDel="00000000" w:rsidR="00000000" w:rsidRPr="00000000">
        <w:rPr>
          <w:rtl w:val="0"/>
        </w:rPr>
        <w:t xml:space="preserve">” vyzývají vládu, a dodávají: “</w:t>
      </w:r>
      <w:r w:rsidDel="00000000" w:rsidR="00000000" w:rsidRPr="00000000">
        <w:rPr>
          <w:i w:val="1"/>
          <w:rtl w:val="0"/>
        </w:rPr>
        <w:t xml:space="preserve">Pokud to myslí se svým záměrem pozitivně se podílet na budoucnosti regionu vážně, měli by svůj závazek signalizovat tím, že mu nejdřív splatí to, co mu jsou dlužni, než budou chtít dotace z veřejných peněz.</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t>
      </w:r>
      <w:r w:rsidDel="00000000" w:rsidR="00000000" w:rsidRPr="00000000">
        <w:rPr>
          <w:i w:val="1"/>
          <w:rtl w:val="0"/>
        </w:rPr>
        <w:t xml:space="preserve">Byla by škoda plýtvat dostupnými veřejnými prostředky a vyhazovat je doslova do černé díry. V našem kraji je spoustu potřebnějších iniciativ, které mohou zdejším lidem skutečně prospět. Jeden z největších znečišťovatelů, který roky z kraje odvádí peníze na dividendách, by v rámci spravedlivé transformace měl konečně začít platit a ne jen natahovat ruku,</w:t>
      </w:r>
      <w:r w:rsidDel="00000000" w:rsidR="00000000" w:rsidRPr="00000000">
        <w:rPr>
          <w:rtl w:val="0"/>
        </w:rPr>
        <w:t xml:space="preserve">” říká Martina Johnová, signatářka výzvy.</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Podle kritiků hrozí, že peníze na transformaci a oživení regionu skončí na Tykačových účtech v daňových skrýších na Kypru a v Lichtenštejnsku, kde jeho firmy sídlí – právě tak jako zmiňované miliardy v nezdaněných dividendách, které z firem jejich vlastníci do zahraničí vytáhli mezi lety 2009 a 2018.</w:t>
      </w:r>
      <w:r w:rsidDel="00000000" w:rsidR="00000000" w:rsidRPr="00000000">
        <w:rPr>
          <w:vertAlign w:val="superscript"/>
        </w:rPr>
        <w:footnoteReference w:customMarkFollows="0" w:id="1"/>
      </w:r>
      <w:r w:rsidDel="00000000" w:rsidR="00000000" w:rsidRPr="00000000">
        <w:rPr>
          <w:rtl w:val="0"/>
        </w:rPr>
        <w:t xml:space="preserve"> </w:t>
      </w:r>
      <w:r w:rsidDel="00000000" w:rsidR="00000000" w:rsidRPr="00000000">
        <w:rPr>
          <w:rtl w:val="0"/>
        </w:rPr>
        <w:t xml:space="preserve">Opakovala</w:t>
      </w:r>
      <w:r w:rsidDel="00000000" w:rsidR="00000000" w:rsidRPr="00000000">
        <w:rPr>
          <w:rtl w:val="0"/>
        </w:rPr>
        <w:t xml:space="preserve"> by se tak situace známá z kauzy OKD na Ostravsku, kdy zisky jdou soukromníkovi, ale ztráty musí přebrat veřejný sektor.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t>
      </w:r>
      <w:r w:rsidDel="00000000" w:rsidR="00000000" w:rsidRPr="00000000">
        <w:rPr>
          <w:i w:val="1"/>
          <w:rtl w:val="0"/>
        </w:rPr>
        <w:t xml:space="preserve">Poskytováním státní podpory na bianco šek bez předchozího splacení dlužných peněz na rekultivace stát riskuje, že bude tratit dvakrát a v zahraničí zmizí i prostředky na transformaci kraje. Neopakujme na Ústecku v ještě větším měřítku situaci z Ostravska, kdy soukromý podnikatel po vysátí zisků opustí region a sanaci ekologických škod i řešení sociálních problémů nechá na krku naší republice a nám všem,</w:t>
      </w:r>
      <w:r w:rsidDel="00000000" w:rsidR="00000000" w:rsidRPr="00000000">
        <w:rPr>
          <w:rtl w:val="0"/>
        </w:rPr>
        <w:t xml:space="preserve">” varují autoři otevřeného dopisu.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Nesoulad řady takzvaných strategických projektů s principy spravedlivé transformace kritizují nejen místní občanské organizace, českou vládu na ně v červnovém dopise upozorňovala také Evropská komise. Ta kromě Tykačovy žádosti kritizovala také plány na spalování odpadu, vágní plány pro ukončení těžby uhlí nebo absenci konkrétních řešení problému energetické chudoby.</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t>
      </w:r>
      <w:r w:rsidDel="00000000" w:rsidR="00000000" w:rsidRPr="00000000">
        <w:rPr>
          <w:i w:val="1"/>
          <w:rtl w:val="0"/>
        </w:rPr>
        <w:t xml:space="preserve">Doposud procesu rozdělování FST dominují miliardové projekty, namísto abychom řešili podporu, kterou skutečně pocítí místní lidé. Stále není jasné, jak fond přispěje k řešení strukturálních problémů Ústeckého kraje, a rozjede tak potřebné investice například do obecních zdrojů obnovitelné energie,</w:t>
      </w:r>
      <w:r w:rsidDel="00000000" w:rsidR="00000000" w:rsidRPr="00000000">
        <w:rPr>
          <w:rtl w:val="0"/>
        </w:rPr>
        <w:t xml:space="preserve">” říká Marika Volfová z organizace Re-set.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2eadab"/>
          <w:sz w:val="24"/>
          <w:szCs w:val="24"/>
        </w:rPr>
      </w:pPr>
      <w:r w:rsidDel="00000000" w:rsidR="00000000" w:rsidRPr="00000000">
        <w:rPr>
          <w:b w:val="1"/>
          <w:color w:val="2eadab"/>
          <w:sz w:val="24"/>
          <w:szCs w:val="24"/>
          <w:rtl w:val="0"/>
        </w:rPr>
        <w:t xml:space="preserve">Kontaktní osoba</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Marika Volfová</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hyperlink r:id="rId7">
        <w:r w:rsidDel="00000000" w:rsidR="00000000" w:rsidRPr="00000000">
          <w:rPr>
            <w:color w:val="1155cc"/>
            <w:u w:val="single"/>
            <w:rtl w:val="0"/>
          </w:rPr>
          <w:t xml:space="preserve">marika.volfova@re-set.cz</w:t>
        </w:r>
      </w:hyperlink>
      <w:r w:rsidDel="00000000" w:rsidR="00000000" w:rsidRPr="00000000">
        <w:rPr>
          <w:rtl w:val="0"/>
        </w:rPr>
        <w:br w:type="textWrapping"/>
      </w:r>
    </w:p>
    <w:p w:rsidR="00000000" w:rsidDel="00000000" w:rsidP="00000000" w:rsidRDefault="00000000" w:rsidRPr="00000000" w14:paraId="0000001D">
      <w:pPr>
        <w:rPr/>
      </w:pPr>
      <w:r w:rsidDel="00000000" w:rsidR="00000000" w:rsidRPr="00000000">
        <w:rPr>
          <w:rtl w:val="0"/>
        </w:rPr>
        <w:t xml:space="preserve">+420 </w:t>
      </w:r>
      <w:r w:rsidDel="00000000" w:rsidR="00000000" w:rsidRPr="00000000">
        <w:rPr>
          <w:rtl w:val="0"/>
        </w:rPr>
        <w:t xml:space="preserve">777 041 145</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hyperlink r:id="rId8">
        <w:r w:rsidDel="00000000" w:rsidR="00000000" w:rsidRPr="00000000">
          <w:rPr>
            <w:color w:val="1155cc"/>
            <w:u w:val="single"/>
            <w:rtl w:val="0"/>
          </w:rPr>
          <w:t xml:space="preserve">www.re-set.cz</w:t>
        </w:r>
      </w:hyperlink>
      <w:r w:rsidDel="00000000" w:rsidR="00000000" w:rsidRPr="00000000">
        <w:rPr>
          <w:rtl w:val="0"/>
        </w:rPr>
        <w:t xml:space="preserv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2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https://denikreferendum.cz/clanek/34130-zjisteni-dr-ceska-spravedliva-transformace-je-dotacni-fiasko-eu-zada-zmeny</w:t>
        </w:r>
      </w:hyperlink>
      <w:r w:rsidDel="00000000" w:rsidR="00000000" w:rsidRPr="00000000">
        <w:rPr>
          <w:sz w:val="20"/>
          <w:szCs w:val="20"/>
          <w:rtl w:val="0"/>
        </w:rPr>
        <w:t xml:space="preserve"> </w:t>
      </w:r>
    </w:p>
  </w:footnote>
  <w:footnote w:id="0">
    <w:p w:rsidR="00000000" w:rsidDel="00000000" w:rsidP="00000000" w:rsidRDefault="00000000" w:rsidRPr="00000000" w14:paraId="00000025">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sz w:val="20"/>
          <w:szCs w:val="20"/>
          <w:rtl w:val="0"/>
        </w:rPr>
        <w:t xml:space="preserve"> </w:t>
      </w:r>
      <w:hyperlink r:id="rId2">
        <w:r w:rsidDel="00000000" w:rsidR="00000000" w:rsidRPr="00000000">
          <w:rPr>
            <w:rFonts w:ascii="Liberation Serif" w:cs="Liberation Serif" w:eastAsia="Liberation Serif" w:hAnsi="Liberation Serif"/>
            <w:color w:val="1155cc"/>
            <w:sz w:val="20"/>
            <w:szCs w:val="20"/>
            <w:u w:val="single"/>
            <w:rtl w:val="0"/>
          </w:rPr>
          <w:t xml:space="preserve">https://www.ceskatelevize.cz/porady/1142743803-reporteri-ct/222452801240020/</w:t>
        </w:r>
      </w:hyperlink>
      <w:r w:rsidDel="00000000" w:rsidR="00000000" w:rsidRPr="00000000">
        <w:rPr>
          <w:rFonts w:ascii="Liberation Serif" w:cs="Liberation Serif" w:eastAsia="Liberation Serif" w:hAnsi="Liberation Serif"/>
          <w:sz w:val="20"/>
          <w:szCs w:val="20"/>
          <w:rtl w:val="0"/>
        </w:rPr>
        <w:t xml:space="preserve"> </w:t>
      </w:r>
      <w:r w:rsidDel="00000000" w:rsidR="00000000" w:rsidRPr="00000000">
        <w:rPr>
          <w:rtl w:val="0"/>
        </w:rPr>
      </w:r>
    </w:p>
  </w:footnote>
  <w:footnote w:id="1">
    <w:p w:rsidR="00000000" w:rsidDel="00000000" w:rsidP="00000000" w:rsidRDefault="00000000" w:rsidRPr="00000000" w14:paraId="00000026">
      <w:pPr>
        <w:spacing w:line="240" w:lineRule="auto"/>
        <w:rPr>
          <w:rFonts w:ascii="Liberation Serif" w:cs="Liberation Serif" w:eastAsia="Liberation Serif" w:hAnsi="Liberation Serif"/>
          <w:sz w:val="20"/>
          <w:szCs w:val="20"/>
        </w:rPr>
      </w:pPr>
      <w:r w:rsidDel="00000000" w:rsidR="00000000" w:rsidRPr="00000000">
        <w:rPr>
          <w:rStyle w:val="FootnoteReference"/>
          <w:vertAlign w:val="superscript"/>
        </w:rPr>
        <w:footnoteRef/>
      </w:r>
      <w:r w:rsidDel="00000000" w:rsidR="00000000" w:rsidRPr="00000000">
        <w:rPr>
          <w:rFonts w:ascii="Liberation Serif" w:cs="Liberation Serif" w:eastAsia="Liberation Serif" w:hAnsi="Liberation Serif"/>
          <w:sz w:val="24"/>
          <w:szCs w:val="24"/>
          <w:rtl w:val="0"/>
        </w:rPr>
        <w:t xml:space="preserve"> </w:t>
      </w:r>
      <w:hyperlink r:id="rId3">
        <w:r w:rsidDel="00000000" w:rsidR="00000000" w:rsidRPr="00000000">
          <w:rPr>
            <w:rFonts w:ascii="Liberation Serif" w:cs="Liberation Serif" w:eastAsia="Liberation Serif" w:hAnsi="Liberation Serif"/>
            <w:color w:val="1155cc"/>
            <w:sz w:val="20"/>
            <w:szCs w:val="20"/>
            <w:u w:val="single"/>
            <w:rtl w:val="0"/>
          </w:rPr>
          <w:t xml:space="preserve">https://www.hnutiduha.cz/sites/default/files/publikace/2020/04/shrnuti_analyzy_vz_hnedouhelnych_spolecnosti_2009-2018_word.pdf</w:t>
        </w:r>
      </w:hyperlink>
      <w:r w:rsidDel="00000000" w:rsidR="00000000" w:rsidRPr="00000000">
        <w:rPr>
          <w:rFonts w:ascii="Liberation Serif" w:cs="Liberation Serif" w:eastAsia="Liberation Serif" w:hAnsi="Liberation Serif"/>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drawing>
        <wp:inline distB="114300" distT="114300" distL="114300" distR="114300">
          <wp:extent cx="2147888" cy="51900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888" cy="5190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arika.volfva@re-set.cz" TargetMode="External"/><Relationship Id="rId8" Type="http://schemas.openxmlformats.org/officeDocument/2006/relationships/hyperlink" Target="http://www.re-set.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nikreferendum.cz/clanek/34130-zjisteni-dr-ceska-spravedliva-transformace-je-dotacni-fiasko-eu-zada-zmeny" TargetMode="External"/><Relationship Id="rId2" Type="http://schemas.openxmlformats.org/officeDocument/2006/relationships/hyperlink" Target="https://www.ceskatelevize.cz/porady/1142743803-reporteri-ct/222452801240020/" TargetMode="External"/><Relationship Id="rId3" Type="http://schemas.openxmlformats.org/officeDocument/2006/relationships/hyperlink" Target="https://www.hnutiduha.cz/sites/default/files/publikace/2020/04/shrnuti_analyzy_vz_hnedouhelnych_spolecnosti_2009-2018_wo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